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-175259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3.8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1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57"/>
          <w:b/>
          <w:bCs/>
          <w:sz w:val="27"/>
          <w:szCs w:val="27"/>
        </w:rPr>
      </w:pPr>
      <w:r>
        <w:rPr>
          <w:rStyle w:val="757"/>
          <w:b/>
          <w:bCs/>
          <w:sz w:val="27"/>
          <w:szCs w:val="27"/>
        </w:rPr>
        <w:t xml:space="preserve">2</w:t>
      </w:r>
      <w:r>
        <w:rPr>
          <w:rStyle w:val="757"/>
          <w:b/>
          <w:bCs/>
          <w:sz w:val="27"/>
          <w:szCs w:val="27"/>
        </w:rPr>
        <w:t xml:space="preserve">7</w:t>
      </w:r>
      <w:r>
        <w:rPr>
          <w:rStyle w:val="757"/>
          <w:b/>
          <w:bCs/>
          <w:sz w:val="27"/>
          <w:szCs w:val="27"/>
        </w:rPr>
        <w:t xml:space="preserve">.</w:t>
      </w:r>
      <w:r>
        <w:rPr>
          <w:rStyle w:val="757"/>
          <w:b/>
          <w:bCs/>
          <w:sz w:val="27"/>
          <w:szCs w:val="27"/>
        </w:rPr>
        <w:t xml:space="preserve">0</w:t>
      </w:r>
      <w:r>
        <w:rPr>
          <w:rStyle w:val="757"/>
          <w:b/>
          <w:bCs/>
          <w:sz w:val="27"/>
          <w:szCs w:val="27"/>
        </w:rPr>
        <w:t xml:space="preserve">2</w:t>
      </w:r>
      <w:r>
        <w:rPr>
          <w:rStyle w:val="757"/>
          <w:b/>
          <w:bCs/>
          <w:sz w:val="27"/>
          <w:szCs w:val="27"/>
        </w:rPr>
        <w:t xml:space="preserve">.2</w:t>
      </w:r>
      <w:r>
        <w:rPr>
          <w:rStyle w:val="757"/>
          <w:b/>
          <w:bCs/>
          <w:sz w:val="27"/>
          <w:szCs w:val="27"/>
        </w:rPr>
        <w:t xml:space="preserve">02</w:t>
      </w:r>
      <w:r>
        <w:rPr>
          <w:rStyle w:val="757"/>
          <w:b/>
          <w:bCs/>
          <w:sz w:val="27"/>
          <w:szCs w:val="27"/>
        </w:rPr>
        <w:t xml:space="preserve">5</w:t>
      </w:r>
      <w:r>
        <w:rPr>
          <w:rStyle w:val="757"/>
          <w:b/>
          <w:bCs/>
          <w:sz w:val="27"/>
          <w:szCs w:val="27"/>
        </w:rPr>
      </w:r>
      <w:r>
        <w:rPr>
          <w:rStyle w:val="757"/>
          <w:b/>
          <w:bCs/>
          <w:sz w:val="27"/>
          <w:szCs w:val="27"/>
        </w:rPr>
      </w:r>
    </w:p>
    <w:p>
      <w:pPr>
        <w:pStyle w:val="691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57"/>
          <w:bCs/>
          <w:sz w:val="27"/>
          <w:szCs w:val="27"/>
        </w:rPr>
      </w:pPr>
      <w:r>
        <w:rPr>
          <w:rStyle w:val="757"/>
          <w:bCs/>
          <w:sz w:val="27"/>
          <w:szCs w:val="27"/>
        </w:rPr>
      </w:r>
      <w:r>
        <w:rPr>
          <w:rStyle w:val="757"/>
          <w:bCs/>
          <w:sz w:val="27"/>
          <w:szCs w:val="27"/>
        </w:rPr>
      </w:r>
    </w:p>
    <w:p>
      <w:pPr>
        <w:pStyle w:val="691"/>
        <w:jc w:val="center"/>
        <w:tabs>
          <w:tab w:val="left" w:pos="709" w:leader="none"/>
          <w:tab w:val="left" w:pos="4830" w:leader="none"/>
        </w:tabs>
        <w:rPr>
          <w:rStyle w:val="757"/>
          <w:b/>
          <w:sz w:val="27"/>
          <w:szCs w:val="27"/>
          <w:shd w:val="clear" w:color="auto" w:fill="ffffff"/>
        </w:rPr>
      </w:pPr>
      <w:r>
        <w:rPr>
          <w:rStyle w:val="757"/>
          <w:b/>
          <w:sz w:val="27"/>
          <w:szCs w:val="27"/>
          <w:shd w:val="clear" w:color="auto" w:fill="ffffff"/>
        </w:rPr>
        <w:t xml:space="preserve">В </w:t>
      </w:r>
      <w:r>
        <w:rPr>
          <w:rStyle w:val="757"/>
          <w:b/>
          <w:sz w:val="27"/>
          <w:szCs w:val="27"/>
          <w:shd w:val="clear" w:color="auto" w:fill="ffffff"/>
        </w:rPr>
        <w:t xml:space="preserve">Челябинской области</w:t>
      </w:r>
      <w:r>
        <w:rPr>
          <w:rStyle w:val="757"/>
          <w:b/>
          <w:sz w:val="27"/>
          <w:szCs w:val="27"/>
          <w:shd w:val="clear" w:color="auto" w:fill="ffffff"/>
        </w:rPr>
        <w:t xml:space="preserve"> 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5 770 га </w:t>
      </w:r>
      <w:r>
        <w:rPr>
          <w:rStyle w:val="757"/>
          <w:b/>
          <w:sz w:val="27"/>
          <w:szCs w:val="27"/>
          <w:shd w:val="clear" w:color="auto" w:fill="ffffff"/>
        </w:rPr>
        <w:t xml:space="preserve">выявлено</w:t>
      </w:r>
      <w:r>
        <w:rPr>
          <w:rStyle w:val="757"/>
          <w:b/>
          <w:sz w:val="27"/>
          <w:szCs w:val="27"/>
          <w:shd w:val="clear" w:color="auto" w:fill="ffffff"/>
        </w:rPr>
        <w:t xml:space="preserve"> для жилищного строительства благодаря проекту «Земля для стройки»</w:t>
      </w:r>
      <w:r>
        <w:rPr>
          <w:rStyle w:val="757"/>
          <w:b/>
          <w:sz w:val="27"/>
          <w:szCs w:val="27"/>
          <w:shd w:val="clear" w:color="auto" w:fill="ffffff"/>
        </w:rPr>
      </w:r>
    </w:p>
    <w:p>
      <w:pPr>
        <w:pStyle w:val="691"/>
        <w:ind w:left="426" w:firstLine="567"/>
        <w:jc w:val="both"/>
        <w:tabs>
          <w:tab w:val="left" w:pos="709" w:leader="none"/>
          <w:tab w:val="left" w:pos="4830" w:leader="none"/>
        </w:tabs>
        <w:rPr>
          <w:rStyle w:val="757"/>
          <w:bCs/>
          <w:sz w:val="27"/>
          <w:szCs w:val="27"/>
          <w:shd w:val="clear" w:color="auto" w:fill="ffffff"/>
        </w:rPr>
      </w:pPr>
      <w:r>
        <w:rPr>
          <w:rStyle w:val="757"/>
          <w:bCs/>
          <w:sz w:val="27"/>
          <w:szCs w:val="27"/>
          <w:shd w:val="clear" w:color="auto" w:fill="ffffff"/>
        </w:rPr>
      </w:r>
      <w:r>
        <w:rPr>
          <w:rStyle w:val="757"/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4830" w:leader="none"/>
        </w:tabs>
        <w:rPr>
          <w:rStyle w:val="757"/>
          <w:b/>
          <w:bCs/>
          <w:sz w:val="27"/>
          <w:szCs w:val="27"/>
          <w:shd w:val="clear" w:color="auto" w:fill="ffffff"/>
        </w:rPr>
      </w:pPr>
      <w:r>
        <w:rPr>
          <w:rStyle w:val="757"/>
          <w:b/>
          <w:bCs/>
          <w:sz w:val="27"/>
          <w:szCs w:val="27"/>
          <w:shd w:val="clear" w:color="auto" w:fill="ffffff"/>
        </w:rPr>
        <w:t xml:space="preserve">Управление Росреестра по Челябинской области сообщает, что в регионе продолжается реализация проекта «Земля для стройки». На сегодняшний день выявлено более 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5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,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6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 тыс. земельных участков и территорий общей площадью 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5 770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 </w:t>
      </w:r>
      <w:r>
        <w:rPr>
          <w:rStyle w:val="757"/>
          <w:b/>
          <w:bCs/>
          <w:sz w:val="27"/>
          <w:szCs w:val="27"/>
          <w:shd w:val="clear" w:color="auto" w:fill="ffffff"/>
        </w:rPr>
        <w:t xml:space="preserve">га, которые можно использовать для жилищного строительства.</w:t>
      </w:r>
      <w:r>
        <w:rPr>
          <w:rStyle w:val="757"/>
          <w:b/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4830" w:leader="none"/>
        </w:tabs>
        <w:rPr>
          <w:rStyle w:val="757"/>
          <w:b/>
          <w:bCs/>
          <w:sz w:val="27"/>
          <w:szCs w:val="27"/>
          <w:shd w:val="clear" w:color="auto" w:fill="ffffff"/>
        </w:rPr>
      </w:pPr>
      <w:r>
        <w:rPr>
          <w:rStyle w:val="757"/>
          <w:b/>
          <w:bCs/>
          <w:sz w:val="27"/>
          <w:szCs w:val="27"/>
          <w:shd w:val="clear" w:color="auto" w:fill="ffffff"/>
        </w:rPr>
      </w:r>
      <w:r>
        <w:rPr>
          <w:rStyle w:val="757"/>
          <w:b/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4830" w:leader="none"/>
        </w:tabs>
        <w:rPr>
          <w:rStyle w:val="757"/>
          <w:bCs/>
          <w:sz w:val="27"/>
          <w:szCs w:val="27"/>
          <w:shd w:val="clear" w:color="auto" w:fill="ffffff"/>
        </w:rPr>
      </w:pPr>
      <w:r>
        <w:rPr>
          <w:rStyle w:val="757"/>
          <w:bCs/>
          <w:sz w:val="27"/>
          <w:szCs w:val="27"/>
        </w:rPr>
        <w:t xml:space="preserve">На Южном Урале продолжается формирование банка земли для жилищного строительства. </w:t>
      </w:r>
      <w:r>
        <w:rPr>
          <w:rStyle w:val="757"/>
          <w:bCs/>
          <w:sz w:val="27"/>
          <w:szCs w:val="27"/>
        </w:rPr>
        <w:t xml:space="preserve">С июня 2021 года в Челябинской области началась реализация проекта Росреестра «Земля для стройки», который</w:t>
      </w:r>
      <w:r>
        <w:rPr>
          <w:rStyle w:val="757"/>
          <w:bCs/>
          <w:sz w:val="27"/>
          <w:szCs w:val="27"/>
        </w:rPr>
        <w:t xml:space="preserve"> помогает выявлять и вовлекать в оборот неиспользуемые земельные участки, подходящие для ИЖС и многоквартирных домов. Благодаря проекту можно легко выбрать свободный участок для собственного дома или целого жилого комплекса. </w:t>
      </w:r>
      <w:r>
        <w:rPr>
          <w:rStyle w:val="757"/>
          <w:bCs/>
          <w:sz w:val="27"/>
          <w:szCs w:val="27"/>
          <w:shd w:val="clear" w:color="auto" w:fill="ffffff"/>
        </w:rPr>
      </w:r>
      <w:r>
        <w:rPr>
          <w:rStyle w:val="757"/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1418" w:leader="none"/>
        </w:tabs>
        <w:rPr>
          <w:rStyle w:val="757"/>
          <w:bCs/>
          <w:sz w:val="27"/>
          <w:szCs w:val="27"/>
          <w:shd w:val="clear" w:color="auto" w:fill="ffffff"/>
        </w:rPr>
      </w:pPr>
      <w:r>
        <w:rPr>
          <w:rStyle w:val="757"/>
          <w:bCs/>
          <w:sz w:val="27"/>
          <w:szCs w:val="27"/>
          <w:shd w:val="clear" w:color="auto" w:fill="ffffff"/>
        </w:rPr>
        <w:t xml:space="preserve">Специальная комиссия</w:t>
      </w:r>
      <w:r>
        <w:rPr>
          <w:rStyle w:val="757"/>
          <w:bCs/>
          <w:sz w:val="27"/>
          <w:szCs w:val="27"/>
          <w:shd w:val="clear" w:color="auto" w:fill="ffffff"/>
        </w:rPr>
        <w:t xml:space="preserve">, состоящая из представителей Управления Росреестра, филиала Роскадастра, органов госвласти и местного самоуправления, ежемесячно выявляет и вводит в оборот неиспользуемые земельные ресурсы региона. В результате такой работы, по состоянию на 1 февраля 2025</w:t>
      </w:r>
      <w:r>
        <w:rPr>
          <w:rStyle w:val="757"/>
          <w:bCs/>
          <w:sz w:val="27"/>
          <w:szCs w:val="27"/>
          <w:shd w:val="clear" w:color="auto" w:fill="ffffff"/>
        </w:rPr>
        <w:t xml:space="preserve"> года, выявлено</w:t>
      </w:r>
      <w:r>
        <w:rPr>
          <w:rStyle w:val="757"/>
          <w:bCs/>
          <w:sz w:val="27"/>
          <w:szCs w:val="27"/>
          <w:shd w:val="clear" w:color="auto" w:fill="ffffff"/>
        </w:rPr>
        <w:t xml:space="preserve"> 5 601 земельный участок и территория общей площадью 5 770,1 га, из них под индивидуальное жилищное строительство – 5 137 земельных участков и территорий общей площадью 4 519,27 га, под многоквартирную застройку – 464 земельных участк</w:t>
      </w:r>
      <w:r>
        <w:rPr>
          <w:rStyle w:val="757"/>
          <w:bCs/>
          <w:sz w:val="27"/>
          <w:szCs w:val="27"/>
          <w:shd w:val="clear" w:color="auto" w:fill="ffffff"/>
        </w:rPr>
        <w:t xml:space="preserve">а</w:t>
      </w:r>
      <w:r>
        <w:rPr>
          <w:rStyle w:val="757"/>
          <w:bCs/>
          <w:sz w:val="27"/>
          <w:szCs w:val="27"/>
          <w:shd w:val="clear" w:color="auto" w:fill="ffffff"/>
        </w:rPr>
        <w:t xml:space="preserve"> и территорий общей площадью 1 250,84 га.</w:t>
      </w:r>
      <w:r>
        <w:rPr>
          <w:rStyle w:val="757"/>
          <w:bCs/>
          <w:sz w:val="27"/>
          <w:szCs w:val="27"/>
          <w:shd w:val="clear" w:color="auto" w:fill="ffffff"/>
        </w:rPr>
        <w:t xml:space="preserve"> </w:t>
      </w:r>
      <w:r>
        <w:rPr>
          <w:rStyle w:val="757"/>
          <w:bCs/>
          <w:sz w:val="27"/>
          <w:szCs w:val="27"/>
          <w:shd w:val="clear" w:color="auto" w:fill="ffffff"/>
        </w:rPr>
      </w:r>
      <w:r>
        <w:rPr>
          <w:rStyle w:val="757"/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1418" w:leader="none"/>
        </w:tabs>
        <w:rPr>
          <w:rStyle w:val="757"/>
          <w:bCs/>
          <w:sz w:val="28"/>
          <w:szCs w:val="28"/>
          <w:shd w:val="clear" w:color="auto" w:fill="ffffff"/>
        </w:rPr>
      </w:pPr>
      <w:r>
        <w:rPr>
          <w:rStyle w:val="757"/>
          <w:bCs/>
          <w:sz w:val="28"/>
          <w:szCs w:val="28"/>
          <w:shd w:val="clear" w:color="auto" w:fill="ffffff"/>
        </w:rPr>
        <w:t xml:space="preserve">Н</w:t>
      </w:r>
      <w:r>
        <w:rPr>
          <w:rStyle w:val="757"/>
          <w:bCs/>
          <w:sz w:val="28"/>
          <w:szCs w:val="28"/>
          <w:shd w:val="clear" w:color="auto" w:fill="ffffff"/>
        </w:rPr>
        <w:t xml:space="preserve">аибольшее число земельных участков и территорий выявлено в</w:t>
      </w:r>
      <w:r>
        <w:rPr>
          <w:rStyle w:val="757"/>
          <w:bCs/>
          <w:sz w:val="28"/>
          <w:szCs w:val="28"/>
          <w:shd w:val="clear" w:color="auto" w:fill="ffffff"/>
        </w:rPr>
        <w:t xml:space="preserve"> </w:t>
      </w:r>
      <w:r>
        <w:rPr>
          <w:rStyle w:val="757"/>
          <w:bCs/>
          <w:sz w:val="28"/>
          <w:szCs w:val="28"/>
          <w:shd w:val="clear" w:color="auto" w:fill="ffffff"/>
        </w:rPr>
        <w:t xml:space="preserve">Челябинске, Копейске и Верхнеуральске</w:t>
      </w:r>
      <w:r>
        <w:rPr>
          <w:rStyle w:val="757"/>
          <w:bCs/>
          <w:sz w:val="28"/>
          <w:szCs w:val="28"/>
          <w:shd w:val="clear" w:color="auto" w:fill="ffffff"/>
        </w:rPr>
        <w:t xml:space="preserve">, а также в </w:t>
      </w:r>
      <w:r>
        <w:rPr>
          <w:rStyle w:val="757"/>
          <w:bCs/>
          <w:sz w:val="28"/>
          <w:szCs w:val="28"/>
          <w:shd w:val="clear" w:color="auto" w:fill="ffffff"/>
        </w:rPr>
        <w:t xml:space="preserve">Сосновском и Красноармейском районах</w:t>
      </w:r>
      <w:r>
        <w:rPr>
          <w:rStyle w:val="757"/>
          <w:bCs/>
          <w:sz w:val="28"/>
          <w:szCs w:val="28"/>
          <w:shd w:val="clear" w:color="auto" w:fill="ffffff"/>
        </w:rPr>
        <w:t xml:space="preserve">. Лидерами по площади стали Сосновский, Красноармейский, Агаповский, Аргаяшский районы</w:t>
      </w:r>
      <w:r>
        <w:rPr>
          <w:rStyle w:val="757"/>
          <w:bCs/>
          <w:sz w:val="28"/>
          <w:szCs w:val="28"/>
          <w:shd w:val="clear" w:color="auto" w:fill="ffffff"/>
        </w:rPr>
        <w:t xml:space="preserve"> и Челябинский городской округ</w:t>
      </w:r>
      <w:r>
        <w:rPr>
          <w:rStyle w:val="757"/>
          <w:bCs/>
          <w:sz w:val="28"/>
          <w:szCs w:val="28"/>
          <w:shd w:val="clear" w:color="auto" w:fill="ffffff"/>
        </w:rPr>
        <w:t xml:space="preserve">. </w:t>
      </w:r>
      <w:r>
        <w:rPr>
          <w:rStyle w:val="757"/>
          <w:bCs/>
          <w:sz w:val="28"/>
          <w:szCs w:val="28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1418" w:leader="none"/>
        </w:tabs>
        <w:rPr>
          <w:color w:val="ff0000"/>
          <w:sz w:val="27"/>
          <w:szCs w:val="27"/>
          <w:shd w:val="clear" w:color="auto" w:fill="fdfdfd"/>
        </w:rPr>
      </w:pPr>
      <w:r>
        <w:rPr>
          <w:rStyle w:val="757"/>
          <w:bCs/>
          <w:sz w:val="28"/>
          <w:szCs w:val="28"/>
          <w:shd w:val="clear" w:color="auto" w:fill="ffffff"/>
        </w:rPr>
        <w:t xml:space="preserve">Что касается вовлеченных участков, то их в настоящее время в </w:t>
      </w:r>
      <w:r>
        <w:rPr>
          <w:rStyle w:val="757"/>
          <w:bCs/>
          <w:sz w:val="28"/>
          <w:szCs w:val="28"/>
          <w:shd w:val="clear" w:color="auto" w:fill="ffffff"/>
        </w:rPr>
        <w:t xml:space="preserve">Челябинской</w:t>
      </w:r>
      <w:r>
        <w:rPr>
          <w:rStyle w:val="757"/>
          <w:bCs/>
          <w:sz w:val="27"/>
          <w:szCs w:val="27"/>
          <w:shd w:val="clear" w:color="auto" w:fill="ffffff"/>
        </w:rPr>
        <w:t xml:space="preserve"> области</w:t>
      </w:r>
      <w:r>
        <w:rPr>
          <w:rStyle w:val="757"/>
          <w:bCs/>
          <w:sz w:val="27"/>
          <w:szCs w:val="27"/>
          <w:shd w:val="clear" w:color="auto" w:fill="ffffff"/>
        </w:rPr>
        <w:t xml:space="preserve"> 2 466, общей площадью 730, 57 га, из них под</w:t>
      </w:r>
      <w:r>
        <w:rPr>
          <w:rStyle w:val="757"/>
          <w:bCs/>
          <w:sz w:val="27"/>
          <w:szCs w:val="27"/>
          <w:shd w:val="clear" w:color="auto" w:fill="ffffff"/>
        </w:rPr>
        <w:t xml:space="preserve">ходят по индивидуальное жилищное строительство – 2 362 земельных участка (599,38 га), для постройки </w:t>
      </w:r>
      <w:r>
        <w:rPr>
          <w:sz w:val="27"/>
          <w:szCs w:val="27"/>
        </w:rPr>
        <w:t xml:space="preserve">многоквартирных домов – 104 земельных участка и территории (131,19 га).</w:t>
      </w:r>
      <w:r>
        <w:rPr>
          <w:sz w:val="27"/>
          <w:szCs w:val="27"/>
        </w:rPr>
        <w:t xml:space="preserve"> </w:t>
      </w:r>
      <w:r>
        <w:rPr>
          <w:rStyle w:val="757"/>
          <w:bCs/>
          <w:sz w:val="27"/>
          <w:szCs w:val="27"/>
          <w:shd w:val="clear" w:color="auto" w:fill="ffffff"/>
        </w:rPr>
        <w:t xml:space="preserve">Примеры успешного и результативного вовлечения по проекту «Земля для стройки» можно найти в Магнитогорске, Верхнеуральске, Кыштыме и Карабаше.</w:t>
      </w:r>
      <w:r>
        <w:rPr>
          <w:color w:val="ff0000"/>
          <w:sz w:val="27"/>
          <w:szCs w:val="27"/>
          <w:shd w:val="clear" w:color="auto" w:fill="fdfdfd"/>
        </w:rPr>
      </w:r>
      <w:r>
        <w:rPr>
          <w:color w:val="ff0000"/>
          <w:sz w:val="27"/>
          <w:szCs w:val="27"/>
          <w:shd w:val="clear" w:color="auto" w:fill="fdfdfd"/>
        </w:rPr>
      </w:r>
    </w:p>
    <w:p>
      <w:pPr>
        <w:pStyle w:val="691"/>
        <w:ind w:firstLine="709"/>
        <w:jc w:val="both"/>
        <w:tabs>
          <w:tab w:val="left" w:pos="709" w:leader="none"/>
          <w:tab w:val="left" w:pos="1418" w:leader="none"/>
        </w:tabs>
        <w:rPr>
          <w:bCs/>
          <w:sz w:val="27"/>
          <w:szCs w:val="27"/>
          <w:shd w:val="clear" w:color="auto" w:fill="ffffff"/>
        </w:rPr>
      </w:pPr>
      <w:r>
        <w:rPr>
          <w:bCs/>
          <w:sz w:val="27"/>
          <w:szCs w:val="27"/>
          <w:shd w:val="clear" w:color="auto" w:fill="ffffff"/>
        </w:rPr>
        <w:t xml:space="preserve">Все актуальные сведения о свободной земле размещены </w:t>
      </w:r>
      <w:r>
        <w:rPr>
          <w:sz w:val="27"/>
          <w:szCs w:val="27"/>
        </w:rPr>
        <w:t xml:space="preserve">в сервисе «Земля для стройки» на п</w:t>
      </w:r>
      <w:r>
        <w:rPr>
          <w:bCs/>
          <w:sz w:val="27"/>
          <w:szCs w:val="27"/>
        </w:rPr>
        <w:t xml:space="preserve">ортале пространственных данных Национальная система пространственных</w:t>
      </w:r>
      <w:r>
        <w:rPr>
          <w:rStyle w:val="757"/>
          <w:sz w:val="27"/>
          <w:szCs w:val="27"/>
          <w:shd w:val="clear" w:color="auto" w:fill="ffffff"/>
        </w:rPr>
        <w:t xml:space="preserve"> данных (</w:t>
      </w:r>
      <w:r>
        <w:rPr>
          <w:rStyle w:val="757"/>
          <w:sz w:val="27"/>
          <w:szCs w:val="27"/>
          <w:shd w:val="clear" w:color="auto" w:fill="ffffff"/>
        </w:rPr>
        <w:fldChar w:fldCharType="begin"/>
      </w:r>
      <w:r>
        <w:rPr>
          <w:rStyle w:val="757"/>
          <w:sz w:val="27"/>
          <w:szCs w:val="27"/>
          <w:shd w:val="clear" w:color="auto" w:fill="ffffff"/>
        </w:rPr>
        <w:instrText xml:space="preserve"> HYPERLINK "https://nspd.gov.ru/construction-nspd" </w:instrText>
      </w:r>
      <w:r>
        <w:rPr>
          <w:rStyle w:val="757"/>
          <w:sz w:val="27"/>
          <w:szCs w:val="27"/>
          <w:shd w:val="clear" w:color="auto" w:fill="ffffff"/>
        </w:rPr>
        <w:fldChar w:fldCharType="separate"/>
      </w:r>
      <w:r>
        <w:rPr>
          <w:rStyle w:val="756"/>
          <w:sz w:val="27"/>
          <w:szCs w:val="27"/>
          <w:shd w:val="clear" w:color="auto" w:fill="ffffff"/>
        </w:rPr>
        <w:t xml:space="preserve">https://nspd.gov.ru/construction-nspd</w:t>
      </w:r>
      <w:r>
        <w:rPr>
          <w:rStyle w:val="757"/>
          <w:sz w:val="27"/>
          <w:szCs w:val="27"/>
          <w:shd w:val="clear" w:color="auto" w:fill="ffffff"/>
        </w:rPr>
        <w:fldChar w:fldCharType="end"/>
      </w:r>
      <w:r>
        <w:rPr>
          <w:rStyle w:val="757"/>
          <w:sz w:val="27"/>
          <w:szCs w:val="27"/>
          <w:shd w:val="clear" w:color="auto" w:fill="ffffff"/>
        </w:rPr>
        <w:t xml:space="preserve">). </w:t>
      </w:r>
      <w:r>
        <w:rPr>
          <w:bCs/>
          <w:sz w:val="27"/>
          <w:szCs w:val="27"/>
          <w:shd w:val="clear" w:color="auto" w:fill="ffffff"/>
        </w:rPr>
        <w:t xml:space="preserve">Данный с</w:t>
      </w:r>
      <w:r>
        <w:rPr>
          <w:bCs/>
          <w:sz w:val="27"/>
          <w:szCs w:val="27"/>
          <w:shd w:val="clear" w:color="auto" w:fill="ffffff"/>
        </w:rPr>
        <w:t xml:space="preserve">ервис делает процесс выбора свободного по</w:t>
      </w:r>
      <w:r>
        <w:rPr>
          <w:bCs/>
          <w:sz w:val="27"/>
          <w:szCs w:val="27"/>
          <w:shd w:val="clear" w:color="auto" w:fill="ffffff"/>
        </w:rPr>
        <w:t xml:space="preserve">д строительство земельного участка прозрачным и комфортным. На карте можно сразу же посмотреть расположение участка, в карточке объекта изучить его основные характеристики и, при заинтересованности, направить заявление на оформление в уполномоченный орган.</w:t>
      </w:r>
      <w:r>
        <w:rPr>
          <w:bCs/>
          <w:sz w:val="27"/>
          <w:szCs w:val="27"/>
          <w:shd w:val="clear" w:color="auto" w:fill="ffffff"/>
        </w:rPr>
      </w:r>
      <w:r>
        <w:rPr>
          <w:bCs/>
          <w:sz w:val="27"/>
          <w:szCs w:val="27"/>
          <w:shd w:val="clear" w:color="auto" w:fill="ffffff"/>
        </w:rPr>
      </w:r>
    </w:p>
    <w:p>
      <w:pPr>
        <w:pStyle w:val="691"/>
        <w:ind w:firstLine="709"/>
        <w:jc w:val="both"/>
        <w:tabs>
          <w:tab w:val="left" w:pos="709" w:leader="none"/>
          <w:tab w:val="left" w:pos="4830" w:leader="none"/>
        </w:tabs>
        <w:rPr>
          <w:rStyle w:val="757"/>
          <w:bCs/>
          <w:sz w:val="27"/>
          <w:szCs w:val="27"/>
        </w:rPr>
      </w:pPr>
      <w:r>
        <w:rPr>
          <w:rStyle w:val="757"/>
          <w:bCs/>
          <w:sz w:val="27"/>
          <w:szCs w:val="27"/>
        </w:rPr>
        <w:t xml:space="preserve">Отметим, проект «Земля для стройки» реализуется с 2020 года по поручению Председателя Правительства </w:t>
      </w:r>
      <w:r>
        <w:rPr>
          <w:rStyle w:val="757"/>
          <w:bCs/>
          <w:sz w:val="27"/>
          <w:szCs w:val="27"/>
        </w:rPr>
        <w:t xml:space="preserve">РФ </w:t>
      </w:r>
      <w:r>
        <w:rPr>
          <w:rStyle w:val="757"/>
          <w:bCs/>
          <w:sz w:val="27"/>
          <w:szCs w:val="27"/>
        </w:rPr>
        <w:t xml:space="preserve">и является частью государственной пр</w:t>
      </w:r>
      <w:r>
        <w:rPr>
          <w:rStyle w:val="757"/>
          <w:bCs/>
          <w:sz w:val="27"/>
          <w:szCs w:val="27"/>
        </w:rPr>
        <w:t xml:space="preserve">ограммы «Национальная система пространственных данных». Создание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>
        <w:rPr>
          <w:rStyle w:val="757"/>
          <w:bCs/>
          <w:sz w:val="27"/>
          <w:szCs w:val="27"/>
        </w:rPr>
      </w:r>
    </w:p>
    <w:p>
      <w:pPr>
        <w:pStyle w:val="691"/>
        <w:jc w:val="right"/>
        <w:rPr>
          <w:rStyle w:val="757"/>
          <w:b/>
          <w:bCs/>
          <w:sz w:val="27"/>
          <w:szCs w:val="27"/>
          <w:shd w:val="clear" w:color="auto" w:fill="ffffff"/>
        </w:rPr>
      </w:pPr>
      <w:r>
        <w:rPr>
          <w:rStyle w:val="757"/>
          <w:b/>
          <w:bCs/>
          <w:sz w:val="27"/>
          <w:szCs w:val="27"/>
          <w:shd w:val="clear" w:color="auto" w:fill="ffffff"/>
        </w:rPr>
        <w:t xml:space="preserve">Начальник Еткульского отдела </w:t>
      </w:r>
      <w:r>
        <w:rPr>
          <w:rStyle w:val="757"/>
          <w:b/>
          <w:bCs/>
          <w:sz w:val="27"/>
          <w:szCs w:val="27"/>
          <w:shd w:val="clear" w:color="auto" w:fill="ffffff"/>
        </w:rPr>
      </w:r>
    </w:p>
    <w:p>
      <w:pPr>
        <w:jc w:val="right"/>
        <w:rPr>
          <w:rStyle w:val="757"/>
          <w:b/>
          <w:bCs/>
          <w:sz w:val="27"/>
          <w:szCs w:val="27"/>
        </w:rPr>
      </w:pPr>
      <w:r>
        <w:rPr>
          <w:rStyle w:val="757"/>
          <w:b/>
          <w:bCs/>
          <w:sz w:val="27"/>
          <w:szCs w:val="27"/>
          <w:shd w:val="clear" w:color="auto" w:fill="ffffff"/>
        </w:rPr>
        <w:t xml:space="preserve">Управления Росреестра по Челябинской области</w:t>
      </w:r>
      <w:r>
        <w:rPr>
          <w:rStyle w:val="757"/>
          <w:b/>
          <w:bCs/>
          <w:sz w:val="27"/>
          <w:szCs w:val="27"/>
        </w:rPr>
      </w:r>
    </w:p>
    <w:p>
      <w:pPr>
        <w:jc w:val="right"/>
        <w:rPr>
          <w:rStyle w:val="757"/>
          <w:b/>
          <w:bCs/>
          <w:sz w:val="27"/>
          <w:szCs w:val="27"/>
        </w:rPr>
      </w:pPr>
      <w:r>
        <w:rPr>
          <w:rStyle w:val="757"/>
          <w:b/>
          <w:bCs/>
          <w:sz w:val="27"/>
          <w:szCs w:val="27"/>
          <w:shd w:val="clear" w:color="auto" w:fill="ffffff"/>
        </w:rPr>
        <w:t xml:space="preserve"> Райфигест М.Н.</w:t>
      </w: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567" w:right="709" w:bottom="567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93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65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7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9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1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53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25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7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sz w:val="24"/>
      <w:szCs w:val="24"/>
      <w:lang w:val="ru-RU" w:eastAsia="ru-RU" w:bidi="ar-SA"/>
    </w:rPr>
  </w:style>
  <w:style w:type="paragraph" w:styleId="692">
    <w:name w:val="Заголовок 3"/>
    <w:basedOn w:val="691"/>
    <w:next w:val="692"/>
    <w:link w:val="824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93">
    <w:name w:val="Основной шрифт абзаца"/>
    <w:next w:val="693"/>
    <w:link w:val="691"/>
    <w:uiPriority w:val="1"/>
    <w:unhideWhenUsed/>
  </w:style>
  <w:style w:type="table" w:styleId="694">
    <w:name w:val="Обычная таблица"/>
    <w:next w:val="694"/>
    <w:link w:val="691"/>
    <w:uiPriority w:val="99"/>
    <w:semiHidden/>
    <w:unhideWhenUsed/>
    <w:tblPr/>
  </w:style>
  <w:style w:type="numbering" w:styleId="695">
    <w:name w:val="Нет списка"/>
    <w:next w:val="695"/>
    <w:link w:val="691"/>
    <w:uiPriority w:val="99"/>
    <w:semiHidden/>
    <w:unhideWhenUsed/>
  </w:style>
  <w:style w:type="character" w:styleId="696">
    <w:name w:val="WW8Num1z0"/>
    <w:next w:val="696"/>
    <w:link w:val="691"/>
    <w:rPr>
      <w:rFonts w:ascii="Symbol" w:hAnsi="Symbol" w:cs="Symbol"/>
    </w:rPr>
  </w:style>
  <w:style w:type="character" w:styleId="697">
    <w:name w:val="WW8Num1z1"/>
    <w:next w:val="697"/>
    <w:link w:val="691"/>
    <w:rPr>
      <w:rFonts w:ascii="Courier New" w:hAnsi="Courier New" w:cs="Courier New"/>
    </w:rPr>
  </w:style>
  <w:style w:type="character" w:styleId="698">
    <w:name w:val="WW8Num1z2"/>
    <w:next w:val="698"/>
    <w:link w:val="691"/>
    <w:rPr>
      <w:rFonts w:ascii="Wingdings" w:hAnsi="Wingdings" w:cs="Wingdings"/>
    </w:rPr>
  </w:style>
  <w:style w:type="character" w:styleId="699">
    <w:name w:val="WW8Num2z0"/>
    <w:next w:val="699"/>
    <w:link w:val="691"/>
    <w:rPr>
      <w:rFonts w:ascii="Symbol" w:hAnsi="Symbol" w:cs="Symbol"/>
    </w:rPr>
  </w:style>
  <w:style w:type="character" w:styleId="700">
    <w:name w:val="WW8Num2z1"/>
    <w:next w:val="700"/>
    <w:link w:val="691"/>
    <w:rPr>
      <w:rFonts w:ascii="Courier New" w:hAnsi="Courier New" w:cs="Courier New"/>
    </w:rPr>
  </w:style>
  <w:style w:type="character" w:styleId="701">
    <w:name w:val="WW8Num2z2"/>
    <w:next w:val="701"/>
    <w:link w:val="691"/>
    <w:rPr>
      <w:rFonts w:ascii="Wingdings" w:hAnsi="Wingdings" w:cs="Wingdings"/>
    </w:rPr>
  </w:style>
  <w:style w:type="character" w:styleId="702">
    <w:name w:val="Основной шрифт абзаца13"/>
    <w:next w:val="702"/>
    <w:link w:val="691"/>
  </w:style>
  <w:style w:type="character" w:styleId="703">
    <w:name w:val="WW8Num1z3"/>
    <w:next w:val="703"/>
    <w:link w:val="691"/>
    <w:rPr>
      <w:rFonts w:ascii="Symbol" w:hAnsi="Symbol" w:cs="Symbol"/>
    </w:rPr>
  </w:style>
  <w:style w:type="character" w:styleId="704">
    <w:name w:val="WW8Num1z4"/>
    <w:next w:val="704"/>
    <w:link w:val="691"/>
  </w:style>
  <w:style w:type="character" w:styleId="705">
    <w:name w:val="WW8Num1z5"/>
    <w:next w:val="705"/>
    <w:link w:val="691"/>
  </w:style>
  <w:style w:type="character" w:styleId="706">
    <w:name w:val="WW8Num1z6"/>
    <w:next w:val="706"/>
    <w:link w:val="691"/>
  </w:style>
  <w:style w:type="character" w:styleId="707">
    <w:name w:val="WW8Num1z7"/>
    <w:next w:val="707"/>
    <w:link w:val="691"/>
  </w:style>
  <w:style w:type="character" w:styleId="708">
    <w:name w:val="WW8Num1z8"/>
    <w:next w:val="708"/>
    <w:link w:val="691"/>
  </w:style>
  <w:style w:type="character" w:styleId="709">
    <w:name w:val="Основной шрифт абзаца12"/>
    <w:next w:val="709"/>
    <w:link w:val="691"/>
  </w:style>
  <w:style w:type="character" w:styleId="710">
    <w:name w:val="WW8Num3z0"/>
    <w:next w:val="710"/>
    <w:link w:val="691"/>
  </w:style>
  <w:style w:type="character" w:styleId="711">
    <w:name w:val="WW8Num3z1"/>
    <w:next w:val="711"/>
    <w:link w:val="691"/>
  </w:style>
  <w:style w:type="character" w:styleId="712">
    <w:name w:val="WW8Num3z2"/>
    <w:next w:val="712"/>
    <w:link w:val="691"/>
  </w:style>
  <w:style w:type="character" w:styleId="713">
    <w:name w:val="WW8Num3z3"/>
    <w:next w:val="713"/>
    <w:link w:val="691"/>
  </w:style>
  <w:style w:type="character" w:styleId="714">
    <w:name w:val="WW8Num3z4"/>
    <w:next w:val="714"/>
    <w:link w:val="691"/>
  </w:style>
  <w:style w:type="character" w:styleId="715">
    <w:name w:val="WW8Num3z5"/>
    <w:next w:val="715"/>
    <w:link w:val="691"/>
  </w:style>
  <w:style w:type="character" w:styleId="716">
    <w:name w:val="WW8Num3z6"/>
    <w:next w:val="716"/>
    <w:link w:val="691"/>
  </w:style>
  <w:style w:type="character" w:styleId="717">
    <w:name w:val="WW8Num3z7"/>
    <w:next w:val="717"/>
    <w:link w:val="691"/>
  </w:style>
  <w:style w:type="character" w:styleId="718">
    <w:name w:val="WW8Num3z8"/>
    <w:next w:val="718"/>
    <w:link w:val="691"/>
  </w:style>
  <w:style w:type="character" w:styleId="719">
    <w:name w:val="WW8Num4z0"/>
    <w:next w:val="719"/>
    <w:link w:val="691"/>
    <w:rPr>
      <w:rFonts w:ascii="Symbol" w:hAnsi="Symbol" w:cs="Symbol"/>
    </w:rPr>
  </w:style>
  <w:style w:type="character" w:styleId="720">
    <w:name w:val="WW8Num4z1"/>
    <w:next w:val="720"/>
    <w:link w:val="691"/>
    <w:rPr>
      <w:rFonts w:ascii="Courier New" w:hAnsi="Courier New" w:cs="Courier New"/>
    </w:rPr>
  </w:style>
  <w:style w:type="character" w:styleId="721">
    <w:name w:val="WW8Num4z2"/>
    <w:next w:val="721"/>
    <w:link w:val="691"/>
    <w:rPr>
      <w:rFonts w:ascii="Wingdings" w:hAnsi="Wingdings" w:cs="Wingdings"/>
    </w:rPr>
  </w:style>
  <w:style w:type="character" w:styleId="722">
    <w:name w:val="WW8Num5z0"/>
    <w:next w:val="722"/>
    <w:link w:val="691"/>
    <w:rPr>
      <w:rFonts w:ascii="Symbol" w:hAnsi="Symbol" w:cs="Symbol"/>
    </w:rPr>
  </w:style>
  <w:style w:type="character" w:styleId="723">
    <w:name w:val="WW8Num5z1"/>
    <w:next w:val="723"/>
    <w:link w:val="691"/>
    <w:rPr>
      <w:rFonts w:ascii="Courier New" w:hAnsi="Courier New" w:cs="Courier New"/>
    </w:rPr>
  </w:style>
  <w:style w:type="character" w:styleId="724">
    <w:name w:val="WW8Num5z2"/>
    <w:next w:val="724"/>
    <w:link w:val="691"/>
    <w:rPr>
      <w:rFonts w:ascii="Wingdings" w:hAnsi="Wingdings" w:cs="Wingdings"/>
    </w:rPr>
  </w:style>
  <w:style w:type="character" w:styleId="725">
    <w:name w:val="Основной шрифт абзаца11"/>
    <w:next w:val="725"/>
    <w:link w:val="691"/>
  </w:style>
  <w:style w:type="character" w:styleId="726">
    <w:name w:val="WW8Num6z0"/>
    <w:next w:val="726"/>
    <w:link w:val="691"/>
    <w:rPr>
      <w:rFonts w:ascii="Symbol" w:hAnsi="Symbol" w:cs="Symbol"/>
      <w:sz w:val="20"/>
    </w:rPr>
  </w:style>
  <w:style w:type="character" w:styleId="727">
    <w:name w:val="WW8Num7z0"/>
    <w:next w:val="727"/>
    <w:link w:val="691"/>
    <w:rPr>
      <w:rFonts w:ascii="Symbol" w:hAnsi="Symbol" w:cs="Symbol"/>
      <w:sz w:val="20"/>
    </w:rPr>
  </w:style>
  <w:style w:type="character" w:styleId="728">
    <w:name w:val="WW8Num7z1"/>
    <w:next w:val="728"/>
    <w:link w:val="691"/>
    <w:rPr>
      <w:rFonts w:ascii="Courier New" w:hAnsi="Courier New" w:cs="Times New Roman"/>
      <w:sz w:val="20"/>
    </w:rPr>
  </w:style>
  <w:style w:type="character" w:styleId="729">
    <w:name w:val="WW8Num7z2"/>
    <w:next w:val="729"/>
    <w:link w:val="691"/>
    <w:rPr>
      <w:rFonts w:ascii="Wingdings" w:hAnsi="Wingdings" w:cs="Wingdings"/>
      <w:sz w:val="20"/>
    </w:rPr>
  </w:style>
  <w:style w:type="character" w:styleId="730">
    <w:name w:val="WW8Num8z0"/>
    <w:next w:val="730"/>
    <w:link w:val="691"/>
    <w:rPr>
      <w:rFonts w:ascii="Symbol" w:hAnsi="Symbol" w:cs="Symbol"/>
    </w:rPr>
  </w:style>
  <w:style w:type="character" w:styleId="731">
    <w:name w:val="WW8Num8z1"/>
    <w:next w:val="731"/>
    <w:link w:val="691"/>
    <w:rPr>
      <w:rFonts w:ascii="Courier New" w:hAnsi="Courier New" w:cs="Courier New"/>
    </w:rPr>
  </w:style>
  <w:style w:type="character" w:styleId="732">
    <w:name w:val="WW8Num8z2"/>
    <w:next w:val="732"/>
    <w:link w:val="691"/>
    <w:rPr>
      <w:rFonts w:ascii="Wingdings" w:hAnsi="Wingdings" w:cs="Wingdings"/>
    </w:rPr>
  </w:style>
  <w:style w:type="character" w:styleId="733">
    <w:name w:val="WW8Num9z0"/>
    <w:next w:val="733"/>
    <w:link w:val="691"/>
    <w:rPr>
      <w:rFonts w:ascii="Symbol" w:hAnsi="Symbol" w:cs="Symbol"/>
    </w:rPr>
  </w:style>
  <w:style w:type="character" w:styleId="734">
    <w:name w:val="WW8Num9z1"/>
    <w:next w:val="734"/>
    <w:link w:val="691"/>
    <w:rPr>
      <w:rFonts w:ascii="Courier New" w:hAnsi="Courier New" w:cs="Courier New"/>
    </w:rPr>
  </w:style>
  <w:style w:type="character" w:styleId="735">
    <w:name w:val="WW8Num9z2"/>
    <w:next w:val="735"/>
    <w:link w:val="691"/>
    <w:rPr>
      <w:rFonts w:ascii="Wingdings" w:hAnsi="Wingdings" w:cs="Wingdings"/>
    </w:rPr>
  </w:style>
  <w:style w:type="character" w:styleId="736">
    <w:name w:val="WW8Num10z0"/>
    <w:next w:val="736"/>
    <w:link w:val="691"/>
    <w:rPr>
      <w:rFonts w:ascii="Symbol" w:hAnsi="Symbol" w:cs="Symbol"/>
      <w:sz w:val="20"/>
    </w:rPr>
  </w:style>
  <w:style w:type="character" w:styleId="737">
    <w:name w:val="WW8Num10z1"/>
    <w:next w:val="737"/>
    <w:link w:val="691"/>
    <w:rPr>
      <w:rFonts w:ascii="Courier New" w:hAnsi="Courier New" w:cs="Times New Roman"/>
      <w:sz w:val="20"/>
    </w:rPr>
  </w:style>
  <w:style w:type="character" w:styleId="738">
    <w:name w:val="WW8Num10z2"/>
    <w:next w:val="738"/>
    <w:link w:val="691"/>
    <w:rPr>
      <w:rFonts w:ascii="Wingdings" w:hAnsi="Wingdings" w:cs="Wingdings"/>
      <w:sz w:val="20"/>
    </w:rPr>
  </w:style>
  <w:style w:type="character" w:styleId="739">
    <w:name w:val="WW8Num11z0"/>
    <w:next w:val="739"/>
    <w:link w:val="691"/>
    <w:rPr>
      <w:rFonts w:ascii="Symbol" w:hAnsi="Symbol" w:cs="Symbol"/>
    </w:rPr>
  </w:style>
  <w:style w:type="character" w:styleId="740">
    <w:name w:val="WW8Num11z1"/>
    <w:next w:val="740"/>
    <w:link w:val="691"/>
    <w:rPr>
      <w:rFonts w:ascii="Courier New" w:hAnsi="Courier New" w:cs="Courier New"/>
    </w:rPr>
  </w:style>
  <w:style w:type="character" w:styleId="741">
    <w:name w:val="WW8Num11z2"/>
    <w:next w:val="741"/>
    <w:link w:val="691"/>
    <w:rPr>
      <w:rFonts w:ascii="Wingdings" w:hAnsi="Wingdings" w:cs="Wingdings"/>
    </w:rPr>
  </w:style>
  <w:style w:type="character" w:styleId="742">
    <w:name w:val="WW8Num12z0"/>
    <w:next w:val="742"/>
    <w:link w:val="691"/>
    <w:rPr>
      <w:rFonts w:ascii="Symbol" w:hAnsi="Symbol" w:cs="Symbol"/>
      <w:sz w:val="20"/>
    </w:rPr>
  </w:style>
  <w:style w:type="character" w:styleId="743">
    <w:name w:val="WW8Num12z1"/>
    <w:next w:val="743"/>
    <w:link w:val="691"/>
    <w:rPr>
      <w:rFonts w:ascii="Courier New" w:hAnsi="Courier New" w:cs="Times New Roman"/>
      <w:sz w:val="20"/>
    </w:rPr>
  </w:style>
  <w:style w:type="character" w:styleId="744">
    <w:name w:val="WW8Num12z2"/>
    <w:next w:val="744"/>
    <w:link w:val="691"/>
    <w:rPr>
      <w:rFonts w:ascii="Wingdings" w:hAnsi="Wingdings" w:cs="Wingdings"/>
      <w:sz w:val="20"/>
    </w:rPr>
  </w:style>
  <w:style w:type="character" w:styleId="745">
    <w:name w:val="WW8Num13z0"/>
    <w:next w:val="745"/>
    <w:link w:val="691"/>
  </w:style>
  <w:style w:type="character" w:styleId="746">
    <w:name w:val="Основной шрифт абзаца10"/>
    <w:next w:val="746"/>
    <w:link w:val="691"/>
  </w:style>
  <w:style w:type="character" w:styleId="747">
    <w:name w:val="Основной шрифт абзаца9"/>
    <w:next w:val="747"/>
    <w:link w:val="691"/>
  </w:style>
  <w:style w:type="character" w:styleId="748">
    <w:name w:val="Основной шрифт абзаца8"/>
    <w:next w:val="748"/>
    <w:link w:val="691"/>
  </w:style>
  <w:style w:type="character" w:styleId="749">
    <w:name w:val="Основной шрифт абзаца7"/>
    <w:next w:val="749"/>
    <w:link w:val="691"/>
  </w:style>
  <w:style w:type="character" w:styleId="750">
    <w:name w:val="Основной шрифт абзаца6"/>
    <w:next w:val="750"/>
    <w:link w:val="691"/>
  </w:style>
  <w:style w:type="character" w:styleId="751">
    <w:name w:val="Основной шрифт абзаца5"/>
    <w:next w:val="751"/>
    <w:link w:val="691"/>
  </w:style>
  <w:style w:type="character" w:styleId="752">
    <w:name w:val="Основной шрифт абзаца4"/>
    <w:next w:val="752"/>
    <w:link w:val="691"/>
  </w:style>
  <w:style w:type="character" w:styleId="753">
    <w:name w:val="Основной шрифт абзаца3"/>
    <w:next w:val="753"/>
    <w:link w:val="691"/>
  </w:style>
  <w:style w:type="character" w:styleId="754">
    <w:name w:val="Основной шрифт абзаца2"/>
    <w:next w:val="754"/>
    <w:link w:val="691"/>
  </w:style>
  <w:style w:type="character" w:styleId="755">
    <w:name w:val="Основной шрифт абзаца1"/>
    <w:next w:val="755"/>
    <w:link w:val="691"/>
  </w:style>
  <w:style w:type="character" w:styleId="756">
    <w:name w:val="Гиперссылка"/>
    <w:next w:val="756"/>
    <w:link w:val="691"/>
    <w:uiPriority w:val="99"/>
    <w:rPr>
      <w:u w:val="single"/>
    </w:rPr>
  </w:style>
  <w:style w:type="character" w:styleId="757">
    <w:name w:val="Нет"/>
    <w:next w:val="757"/>
    <w:link w:val="691"/>
  </w:style>
  <w:style w:type="character" w:styleId="758">
    <w:name w:val="Выделение"/>
    <w:next w:val="758"/>
    <w:link w:val="691"/>
    <w:uiPriority w:val="20"/>
    <w:qFormat/>
    <w:rPr>
      <w:i/>
      <w:iCs/>
    </w:rPr>
  </w:style>
  <w:style w:type="character" w:styleId="759">
    <w:name w:val="Основной текст (2)_"/>
    <w:next w:val="759"/>
    <w:link w:val="69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60">
    <w:name w:val="Строгий"/>
    <w:next w:val="760"/>
    <w:link w:val="691"/>
    <w:uiPriority w:val="22"/>
    <w:qFormat/>
    <w:rPr>
      <w:b/>
      <w:bCs/>
    </w:rPr>
  </w:style>
  <w:style w:type="character" w:styleId="761">
    <w:name w:val="Знак примечания1"/>
    <w:next w:val="761"/>
    <w:link w:val="691"/>
    <w:rPr>
      <w:sz w:val="16"/>
      <w:szCs w:val="16"/>
    </w:rPr>
  </w:style>
  <w:style w:type="character" w:styleId="762">
    <w:name w:val="Текст примечания Знак"/>
    <w:next w:val="762"/>
    <w:link w:val="691"/>
    <w:rPr>
      <w:rFonts w:eastAsia="Arial Unicode MS" w:cs="Arial Unicode MS"/>
      <w:color w:val="000000"/>
      <w:lang w:eastAsia="zh-CN"/>
    </w:rPr>
  </w:style>
  <w:style w:type="character" w:styleId="763">
    <w:name w:val="Тема примечания Знак"/>
    <w:next w:val="763"/>
    <w:link w:val="691"/>
    <w:rPr>
      <w:rFonts w:eastAsia="Arial Unicode MS" w:cs="Arial Unicode MS"/>
      <w:b/>
      <w:bCs/>
      <w:color w:val="000000"/>
      <w:lang w:eastAsia="zh-CN"/>
    </w:rPr>
  </w:style>
  <w:style w:type="character" w:styleId="764">
    <w:name w:val="Текст выноски Знак"/>
    <w:next w:val="764"/>
    <w:link w:val="691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65">
    <w:name w:val="Знак примечания2"/>
    <w:next w:val="765"/>
    <w:link w:val="691"/>
    <w:rPr>
      <w:sz w:val="16"/>
      <w:szCs w:val="16"/>
    </w:rPr>
  </w:style>
  <w:style w:type="character" w:styleId="766">
    <w:name w:val="Текст примечания Знак1"/>
    <w:next w:val="766"/>
    <w:link w:val="691"/>
    <w:rPr>
      <w:rFonts w:eastAsia="Arial Unicode MS" w:cs="Arial Unicode MS"/>
      <w:color w:val="000000"/>
      <w:lang w:eastAsia="zh-CN"/>
    </w:rPr>
  </w:style>
  <w:style w:type="character" w:styleId="767">
    <w:name w:val="article_layer__header_date_published"/>
    <w:next w:val="767"/>
    <w:link w:val="691"/>
  </w:style>
  <w:style w:type="character" w:styleId="768">
    <w:name w:val="article_layer__stat_btn"/>
    <w:next w:val="768"/>
    <w:link w:val="691"/>
  </w:style>
  <w:style w:type="character" w:styleId="769">
    <w:name w:val="Основной текст (5)"/>
    <w:next w:val="769"/>
    <w:link w:val="691"/>
    <w:rPr>
      <w:rFonts w:ascii="Times New Roman" w:hAnsi="Times New Roman" w:cs="Times New Roman"/>
      <w:spacing w:val="0"/>
      <w:sz w:val="27"/>
      <w:szCs w:val="27"/>
    </w:rPr>
  </w:style>
  <w:style w:type="character" w:styleId="770">
    <w:name w:val="Текст концевой сноски Знак"/>
    <w:next w:val="770"/>
    <w:link w:val="691"/>
    <w:rPr>
      <w:rFonts w:eastAsia="Arial Unicode MS" w:cs="Arial Unicode MS"/>
      <w:color w:val="000000"/>
      <w:lang w:eastAsia="zh-CN"/>
    </w:rPr>
  </w:style>
  <w:style w:type="character" w:styleId="771">
    <w:name w:val="Символ концевой сноски"/>
    <w:next w:val="771"/>
    <w:link w:val="691"/>
    <w:rPr>
      <w:vertAlign w:val="superscript"/>
    </w:rPr>
  </w:style>
  <w:style w:type="paragraph" w:styleId="772">
    <w:name w:val="Заголовок1"/>
    <w:basedOn w:val="691"/>
    <w:next w:val="773"/>
    <w:link w:val="691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73">
    <w:name w:val="Основной текст"/>
    <w:basedOn w:val="691"/>
    <w:next w:val="773"/>
    <w:link w:val="691"/>
    <w:pPr>
      <w:spacing w:before="0" w:after="140" w:line="276" w:lineRule="auto"/>
    </w:pPr>
  </w:style>
  <w:style w:type="paragraph" w:styleId="774">
    <w:name w:val="Список"/>
    <w:basedOn w:val="773"/>
    <w:next w:val="774"/>
    <w:link w:val="691"/>
    <w:rPr>
      <w:rFonts w:ascii="PT Sans" w:hAnsi="PT Sans" w:cs="Noto Sans Devanagari"/>
    </w:rPr>
  </w:style>
  <w:style w:type="paragraph" w:styleId="775">
    <w:name w:val="Название объекта"/>
    <w:basedOn w:val="691"/>
    <w:next w:val="775"/>
    <w:link w:val="69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6">
    <w:name w:val="Указатель13"/>
    <w:basedOn w:val="691"/>
    <w:next w:val="776"/>
    <w:link w:val="691"/>
    <w:pPr>
      <w:suppressLineNumbers/>
    </w:pPr>
    <w:rPr>
      <w:rFonts w:cs="Mangal"/>
      <w:lang w:val="en-US" w:eastAsia="en-US" w:bidi="en-US"/>
    </w:rPr>
  </w:style>
  <w:style w:type="paragraph" w:styleId="777">
    <w:name w:val="Название объекта12"/>
    <w:basedOn w:val="691"/>
    <w:next w:val="777"/>
    <w:link w:val="691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78">
    <w:name w:val="Указатель12"/>
    <w:basedOn w:val="691"/>
    <w:next w:val="778"/>
    <w:link w:val="691"/>
    <w:pPr>
      <w:suppressLineNumbers/>
    </w:pPr>
    <w:rPr>
      <w:rFonts w:ascii="PT Sans" w:hAnsi="PT Sans" w:cs="Noto Sans Devanagari"/>
    </w:rPr>
  </w:style>
  <w:style w:type="paragraph" w:styleId="779">
    <w:name w:val="Название объекта11"/>
    <w:basedOn w:val="691"/>
    <w:next w:val="779"/>
    <w:link w:val="691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80">
    <w:name w:val="Указатель11"/>
    <w:basedOn w:val="691"/>
    <w:next w:val="780"/>
    <w:link w:val="691"/>
    <w:pPr>
      <w:suppressLineNumbers/>
    </w:pPr>
    <w:rPr>
      <w:rFonts w:ascii="PT Astra Serif" w:hAnsi="PT Astra Serif" w:cs="Noto Sans Devanagari"/>
    </w:rPr>
  </w:style>
  <w:style w:type="paragraph" w:styleId="781">
    <w:name w:val="Название объекта10"/>
    <w:basedOn w:val="691"/>
    <w:next w:val="781"/>
    <w:link w:val="69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82">
    <w:name w:val="Указатель10"/>
    <w:basedOn w:val="691"/>
    <w:next w:val="782"/>
    <w:link w:val="691"/>
    <w:pPr>
      <w:suppressLineNumbers/>
    </w:pPr>
    <w:rPr>
      <w:rFonts w:cs="Arial"/>
    </w:rPr>
  </w:style>
  <w:style w:type="paragraph" w:styleId="783">
    <w:name w:val="Название объекта9"/>
    <w:basedOn w:val="691"/>
    <w:next w:val="783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84">
    <w:name w:val="Указатель9"/>
    <w:basedOn w:val="691"/>
    <w:next w:val="784"/>
    <w:link w:val="691"/>
    <w:pPr>
      <w:suppressLineNumbers/>
    </w:pPr>
    <w:rPr>
      <w:rFonts w:cs="Lucida Sans"/>
    </w:rPr>
  </w:style>
  <w:style w:type="paragraph" w:styleId="785">
    <w:name w:val="Название объекта8"/>
    <w:basedOn w:val="691"/>
    <w:next w:val="785"/>
    <w:link w:val="69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86">
    <w:name w:val="Указатель8"/>
    <w:basedOn w:val="691"/>
    <w:next w:val="786"/>
    <w:link w:val="691"/>
    <w:pPr>
      <w:suppressLineNumbers/>
    </w:pPr>
    <w:rPr>
      <w:rFonts w:cs="Arial"/>
    </w:rPr>
  </w:style>
  <w:style w:type="paragraph" w:styleId="787">
    <w:name w:val="Название объекта7"/>
    <w:basedOn w:val="691"/>
    <w:next w:val="787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88">
    <w:name w:val="Указатель7"/>
    <w:basedOn w:val="691"/>
    <w:next w:val="788"/>
    <w:link w:val="691"/>
    <w:pPr>
      <w:suppressLineNumbers/>
    </w:pPr>
    <w:rPr>
      <w:rFonts w:cs="Lucida Sans"/>
    </w:rPr>
  </w:style>
  <w:style w:type="paragraph" w:styleId="789">
    <w:name w:val="Название объекта6"/>
    <w:basedOn w:val="691"/>
    <w:next w:val="789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90">
    <w:name w:val="Указатель6"/>
    <w:basedOn w:val="691"/>
    <w:next w:val="790"/>
    <w:link w:val="691"/>
    <w:pPr>
      <w:suppressLineNumbers/>
    </w:pPr>
    <w:rPr>
      <w:rFonts w:cs="Lucida Sans"/>
    </w:rPr>
  </w:style>
  <w:style w:type="paragraph" w:styleId="791">
    <w:name w:val="Название объекта5"/>
    <w:basedOn w:val="691"/>
    <w:next w:val="791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92">
    <w:name w:val="Указатель5"/>
    <w:basedOn w:val="691"/>
    <w:next w:val="792"/>
    <w:link w:val="691"/>
    <w:pPr>
      <w:suppressLineNumbers/>
    </w:pPr>
    <w:rPr>
      <w:rFonts w:cs="Lucida Sans"/>
    </w:rPr>
  </w:style>
  <w:style w:type="paragraph" w:styleId="793">
    <w:name w:val="Название объекта4"/>
    <w:basedOn w:val="691"/>
    <w:next w:val="793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94">
    <w:name w:val="Указатель4"/>
    <w:basedOn w:val="691"/>
    <w:next w:val="794"/>
    <w:link w:val="691"/>
    <w:pPr>
      <w:suppressLineNumbers/>
    </w:pPr>
    <w:rPr>
      <w:rFonts w:cs="Lucida Sans"/>
    </w:rPr>
  </w:style>
  <w:style w:type="paragraph" w:styleId="795">
    <w:name w:val="Название объекта3"/>
    <w:basedOn w:val="691"/>
    <w:next w:val="795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96">
    <w:name w:val="Указатель3"/>
    <w:basedOn w:val="691"/>
    <w:next w:val="796"/>
    <w:link w:val="691"/>
    <w:pPr>
      <w:suppressLineNumbers/>
    </w:pPr>
    <w:rPr>
      <w:rFonts w:cs="Lucida Sans"/>
    </w:rPr>
  </w:style>
  <w:style w:type="paragraph" w:styleId="797">
    <w:name w:val="Название объекта2"/>
    <w:basedOn w:val="691"/>
    <w:next w:val="797"/>
    <w:link w:val="6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98">
    <w:name w:val="Указатель2"/>
    <w:basedOn w:val="691"/>
    <w:next w:val="798"/>
    <w:link w:val="691"/>
    <w:pPr>
      <w:suppressLineNumbers/>
    </w:pPr>
    <w:rPr>
      <w:rFonts w:cs="Lucida Sans"/>
    </w:rPr>
  </w:style>
  <w:style w:type="paragraph" w:styleId="799">
    <w:name w:val="Название объекта1"/>
    <w:basedOn w:val="691"/>
    <w:next w:val="799"/>
    <w:link w:val="691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800">
    <w:name w:val="Указатель1"/>
    <w:basedOn w:val="691"/>
    <w:next w:val="800"/>
    <w:link w:val="691"/>
    <w:pPr>
      <w:suppressLineNumbers/>
    </w:pPr>
    <w:rPr>
      <w:rFonts w:ascii="PT Sans" w:hAnsi="PT Sans" w:cs="Noto Sans Devanagari"/>
    </w:rPr>
  </w:style>
  <w:style w:type="paragraph" w:styleId="801">
    <w:name w:val="Верхн./нижн. кол."/>
    <w:next w:val="801"/>
    <w:link w:val="691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802">
    <w:name w:val="Body Text"/>
    <w:next w:val="802"/>
    <w:link w:val="691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803">
    <w:name w:val="Обычный (веб)1"/>
    <w:next w:val="803"/>
    <w:link w:val="691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804">
    <w:name w:val="Верхний и нижний колонтитулы"/>
    <w:basedOn w:val="691"/>
    <w:next w:val="804"/>
    <w:link w:val="691"/>
    <w:pPr>
      <w:tabs>
        <w:tab w:val="center" w:pos="4819" w:leader="none"/>
        <w:tab w:val="right" w:pos="9638" w:leader="none"/>
      </w:tabs>
      <w:suppressLineNumbers/>
    </w:pPr>
  </w:style>
  <w:style w:type="paragraph" w:styleId="805">
    <w:name w:val="Колонтитул"/>
    <w:basedOn w:val="691"/>
    <w:next w:val="805"/>
    <w:link w:val="691"/>
    <w:pPr>
      <w:tabs>
        <w:tab w:val="center" w:pos="4819" w:leader="none"/>
        <w:tab w:val="right" w:pos="9638" w:leader="none"/>
      </w:tabs>
      <w:suppressLineNumbers/>
    </w:pPr>
  </w:style>
  <w:style w:type="paragraph" w:styleId="806">
    <w:name w:val="Нижний колонтитул"/>
    <w:basedOn w:val="804"/>
    <w:next w:val="806"/>
    <w:link w:val="691"/>
    <w:pPr>
      <w:suppressLineNumbers/>
    </w:pPr>
  </w:style>
  <w:style w:type="paragraph" w:styleId="807">
    <w:name w:val="Верхний колонтитул"/>
    <w:basedOn w:val="804"/>
    <w:next w:val="807"/>
    <w:link w:val="691"/>
    <w:pPr>
      <w:suppressLineNumbers/>
    </w:pPr>
  </w:style>
  <w:style w:type="paragraph" w:styleId="808">
    <w:name w:val="Абзац списка"/>
    <w:basedOn w:val="691"/>
    <w:next w:val="808"/>
    <w:link w:val="691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809">
    <w:name w:val="western"/>
    <w:basedOn w:val="691"/>
    <w:next w:val="809"/>
    <w:link w:val="691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810">
    <w:name w:val="Текст примечания1"/>
    <w:basedOn w:val="691"/>
    <w:next w:val="810"/>
    <w:link w:val="691"/>
    <w:rPr>
      <w:rFonts w:cs="Times New Roman"/>
      <w:sz w:val="20"/>
      <w:szCs w:val="20"/>
      <w:lang w:val="en-US"/>
    </w:rPr>
  </w:style>
  <w:style w:type="paragraph" w:styleId="811">
    <w:name w:val="Тема примечания"/>
    <w:basedOn w:val="810"/>
    <w:next w:val="810"/>
    <w:link w:val="691"/>
    <w:rPr>
      <w:b/>
      <w:bCs/>
    </w:rPr>
  </w:style>
  <w:style w:type="paragraph" w:styleId="812">
    <w:name w:val="Текст выноски"/>
    <w:basedOn w:val="691"/>
    <w:next w:val="812"/>
    <w:link w:val="691"/>
    <w:rPr>
      <w:rFonts w:ascii="Segoe UI" w:hAnsi="Segoe UI" w:cs="Times New Roman"/>
      <w:sz w:val="18"/>
      <w:szCs w:val="18"/>
      <w:lang w:val="en-US"/>
    </w:rPr>
  </w:style>
  <w:style w:type="paragraph" w:styleId="813">
    <w:name w:val="Без интервала1"/>
    <w:next w:val="813"/>
    <w:link w:val="691"/>
    <w:rPr>
      <w:rFonts w:ascii="Calibri" w:hAnsi="Calibri" w:cs="Calibri"/>
      <w:sz w:val="22"/>
      <w:szCs w:val="22"/>
      <w:lang w:val="ru-RU" w:eastAsia="zh-CN" w:bidi="ar-SA"/>
    </w:rPr>
  </w:style>
  <w:style w:type="paragraph" w:styleId="814">
    <w:name w:val="ConsPlusNormal"/>
    <w:next w:val="814"/>
    <w:link w:val="691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15">
    <w:name w:val="Default"/>
    <w:next w:val="815"/>
    <w:link w:val="691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816">
    <w:name w:val="Standard"/>
    <w:next w:val="816"/>
    <w:link w:val="691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817">
    <w:name w:val="Text body"/>
    <w:basedOn w:val="816"/>
    <w:next w:val="817"/>
    <w:link w:val="691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818">
    <w:name w:val="Обычный (веб)"/>
    <w:basedOn w:val="691"/>
    <w:next w:val="818"/>
    <w:link w:val="691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819">
    <w:name w:val="Текст примечания2"/>
    <w:basedOn w:val="691"/>
    <w:next w:val="819"/>
    <w:link w:val="691"/>
    <w:rPr>
      <w:rFonts w:cs="Times New Roman"/>
      <w:sz w:val="20"/>
      <w:szCs w:val="20"/>
      <w:lang w:val="en-US"/>
    </w:rPr>
  </w:style>
  <w:style w:type="paragraph" w:styleId="820">
    <w:name w:val="Содержимое таблицы"/>
    <w:basedOn w:val="691"/>
    <w:next w:val="820"/>
    <w:link w:val="691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21">
    <w:name w:val="Текст концевой сноски"/>
    <w:basedOn w:val="691"/>
    <w:next w:val="821"/>
    <w:link w:val="691"/>
    <w:rPr>
      <w:rFonts w:cs="Times New Roman"/>
      <w:sz w:val="20"/>
      <w:szCs w:val="20"/>
      <w:lang w:val="en-US"/>
    </w:rPr>
  </w:style>
  <w:style w:type="paragraph" w:styleId="822">
    <w:name w:val="Основной текст с отступом 31"/>
    <w:basedOn w:val="691"/>
    <w:next w:val="822"/>
    <w:link w:val="691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23">
    <w:name w:val="no-indent"/>
    <w:basedOn w:val="691"/>
    <w:next w:val="823"/>
    <w:link w:val="691"/>
    <w:pPr>
      <w:spacing w:before="100" w:beforeAutospacing="1" w:after="100" w:afterAutospacing="1"/>
    </w:pPr>
  </w:style>
  <w:style w:type="character" w:styleId="824">
    <w:name w:val="Заголовок 3 Знак"/>
    <w:next w:val="824"/>
    <w:link w:val="692"/>
    <w:uiPriority w:val="9"/>
    <w:rPr>
      <w:b/>
      <w:bCs/>
      <w:sz w:val="27"/>
      <w:szCs w:val="27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122</cp:revision>
  <dcterms:created xsi:type="dcterms:W3CDTF">2024-08-16T10:03:00Z</dcterms:created>
  <dcterms:modified xsi:type="dcterms:W3CDTF">2025-03-18T09:18:01Z</dcterms:modified>
  <cp:version>983040</cp:version>
</cp:coreProperties>
</file>